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62B05">
      <w:pPr>
        <w:pStyle w:val="7"/>
        <w:spacing w:line="360" w:lineRule="exact"/>
        <w:rPr>
          <w:rFonts w:hint="default" w:ascii="Calibri" w:hAnsi="Calibri" w:eastAsia="宋体" w:cs="Calibri"/>
          <w:color w:val="auto"/>
          <w:sz w:val="22"/>
          <w:highlight w:val="none"/>
          <w:lang w:val="en-US" w:eastAsia="zh-CN"/>
        </w:rPr>
      </w:pPr>
      <w:bookmarkStart w:id="1" w:name="_GoBack"/>
      <w:bookmarkEnd w:id="1"/>
    </w:p>
    <w:p w14:paraId="6462C0FF">
      <w:pPr>
        <w:pStyle w:val="7"/>
        <w:spacing w:line="360" w:lineRule="exact"/>
        <w:rPr>
          <w:rFonts w:ascii="Calibri" w:hAnsi="Calibri" w:cs="Calibri"/>
          <w:color w:val="auto"/>
          <w:sz w:val="22"/>
          <w:highlight w:val="none"/>
        </w:rPr>
      </w:pPr>
      <w:r>
        <w:rPr>
          <w:rFonts w:ascii="Calibri" w:hAnsi="Calibri" w:cs="Calibri"/>
          <w:color w:val="auto"/>
          <w:sz w:val="22"/>
          <w:highlight w:val="none"/>
        </w:rPr>
        <w:t>    </w:t>
      </w:r>
    </w:p>
    <w:p w14:paraId="20C7B3E1">
      <w:pPr>
        <w:pStyle w:val="7"/>
        <w:spacing w:line="360" w:lineRule="exact"/>
        <w:rPr>
          <w:rFonts w:ascii="Calibri" w:hAnsi="Calibri" w:cs="Calibri"/>
          <w:color w:val="auto"/>
          <w:sz w:val="22"/>
          <w:highlight w:val="none"/>
        </w:rPr>
      </w:pPr>
    </w:p>
    <w:p w14:paraId="0AA6D760">
      <w:pPr>
        <w:pStyle w:val="7"/>
        <w:spacing w:line="360" w:lineRule="exact"/>
        <w:rPr>
          <w:rFonts w:hint="eastAsia" w:ascii="Calibri" w:hAnsi="Calibri" w:cs="Calibri"/>
          <w:color w:val="auto"/>
          <w:sz w:val="22"/>
          <w:highlight w:val="none"/>
        </w:rPr>
      </w:pPr>
    </w:p>
    <w:p w14:paraId="1B59336A">
      <w:pPr>
        <w:widowControl/>
        <w:spacing w:line="320" w:lineRule="exact"/>
        <w:jc w:val="left"/>
        <w:rPr>
          <w:rFonts w:hint="eastAsia" w:ascii="Calibri" w:hAnsi="Calibri" w:eastAsia="宋体" w:cs="Calibri"/>
          <w:color w:val="auto"/>
          <w:highlight w:val="none"/>
          <w:lang w:val="en-US" w:eastAsia="zh-CN"/>
        </w:rPr>
      </w:pPr>
      <w:r>
        <w:rPr>
          <w:rStyle w:val="11"/>
          <w:rFonts w:hint="eastAsia" w:ascii="Calibri" w:hAnsi="Times New Roman" w:eastAsia="宋体" w:cs="Calibri"/>
          <w:color w:val="auto"/>
          <w:kern w:val="0"/>
          <w:sz w:val="22"/>
          <w:szCs w:val="22"/>
          <w:highlight w:val="none"/>
          <w:lang w:val="en-US" w:eastAsia="zh-CN" w:bidi="ar-SA"/>
        </w:rPr>
        <w:t>七</w:t>
      </w:r>
      <w:r>
        <w:rPr>
          <w:rStyle w:val="11"/>
          <w:rFonts w:hint="eastAsia" w:ascii="Calibri" w:cs="Calibri"/>
          <w:color w:val="auto"/>
          <w:kern w:val="0"/>
          <w:sz w:val="22"/>
          <w:szCs w:val="22"/>
          <w:highlight w:val="none"/>
          <w:lang w:val="en-US" w:eastAsia="zh-CN" w:bidi="ar-SA"/>
        </w:rPr>
        <w:t>、投标文件的有关格式</w:t>
      </w:r>
    </w:p>
    <w:p w14:paraId="0DADE077">
      <w:pPr>
        <w:spacing w:line="380" w:lineRule="exact"/>
        <w:jc w:val="right"/>
        <w:rPr>
          <w:rFonts w:ascii="Calibri" w:hAnsi="宋体" w:cs="Calibri"/>
          <w:color w:val="auto"/>
          <w:highlight w:val="none"/>
        </w:rPr>
      </w:pPr>
    </w:p>
    <w:p w14:paraId="4197741B">
      <w:pPr>
        <w:pStyle w:val="5"/>
        <w:numPr>
          <w:ilvl w:val="0"/>
          <w:numId w:val="0"/>
        </w:numPr>
        <w:ind w:firstLine="0" w:firstLineChars="0"/>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bidi="ar-SA"/>
        </w:rPr>
        <w:t>7.1</w:t>
      </w:r>
      <w:r>
        <w:rPr>
          <w:rFonts w:ascii="宋体" w:hAnsi="宋体" w:eastAsia="宋体" w:cs="宋体"/>
          <w:b/>
          <w:sz w:val="21"/>
          <w:szCs w:val="21"/>
          <w:highlight w:val="none"/>
          <w:lang w:val="en-US" w:eastAsia="zh-CN" w:bidi="ar-SA"/>
        </w:rPr>
        <w:t>、</w:t>
      </w:r>
      <w:r>
        <w:rPr>
          <w:rFonts w:hint="eastAsia" w:ascii="宋体" w:hAnsi="宋体" w:eastAsia="宋体" w:cs="宋体"/>
          <w:b/>
          <w:sz w:val="21"/>
          <w:szCs w:val="21"/>
          <w:highlight w:val="none"/>
        </w:rPr>
        <w:t>法定代表人身份证明或法定代表人授权委托书</w:t>
      </w:r>
    </w:p>
    <w:p w14:paraId="0EBFDB0C">
      <w:pPr>
        <w:rPr>
          <w:highlight w:val="none"/>
        </w:rPr>
      </w:pPr>
    </w:p>
    <w:p w14:paraId="3C8307D0">
      <w:pPr>
        <w:spacing w:line="360" w:lineRule="auto"/>
        <w:jc w:val="center"/>
        <w:rPr>
          <w:b/>
          <w:sz w:val="32"/>
          <w:szCs w:val="32"/>
          <w:highlight w:val="none"/>
        </w:rPr>
      </w:pPr>
      <w:r>
        <w:rPr>
          <w:rFonts w:hint="eastAsia"/>
          <w:b/>
          <w:sz w:val="32"/>
          <w:szCs w:val="32"/>
          <w:highlight w:val="none"/>
        </w:rPr>
        <w:t>法定代表人（企业负责人）授权委托书</w:t>
      </w:r>
    </w:p>
    <w:p w14:paraId="6CB09DC1">
      <w:pPr>
        <w:spacing w:line="360" w:lineRule="auto"/>
        <w:jc w:val="center"/>
        <w:rPr>
          <w:b/>
          <w:sz w:val="32"/>
          <w:szCs w:val="32"/>
          <w:highlight w:val="none"/>
        </w:rPr>
      </w:pPr>
      <w:r>
        <w:rPr>
          <w:rFonts w:hint="eastAsia" w:ascii="宋体" w:hAnsi="宋体"/>
          <w:bCs/>
          <w:sz w:val="24"/>
          <w:highlight w:val="none"/>
        </w:rPr>
        <w:t>（法定代表人（企业负责人）来投标的，此表不用）</w:t>
      </w:r>
    </w:p>
    <w:p w14:paraId="7318843B">
      <w:pPr>
        <w:snapToGrid w:val="0"/>
        <w:spacing w:line="360" w:lineRule="auto"/>
        <w:rPr>
          <w:rFonts w:ascii="宋体" w:hAnsi="宋体"/>
          <w:bCs/>
          <w:sz w:val="24"/>
          <w:highlight w:val="none"/>
        </w:rPr>
      </w:pPr>
    </w:p>
    <w:p w14:paraId="6D69FFD9">
      <w:pPr>
        <w:snapToGrid w:val="0"/>
        <w:spacing w:line="360" w:lineRule="auto"/>
        <w:rPr>
          <w:rFonts w:ascii="宋体" w:hAnsi="宋体"/>
          <w:szCs w:val="21"/>
          <w:highlight w:val="none"/>
        </w:rPr>
      </w:pPr>
      <w:r>
        <w:rPr>
          <w:rFonts w:hint="eastAsia" w:ascii="宋体" w:hAnsi="宋体"/>
          <w:bCs/>
          <w:szCs w:val="21"/>
          <w:highlight w:val="none"/>
        </w:rPr>
        <w:t>致：</w:t>
      </w:r>
      <w:r>
        <w:rPr>
          <w:rFonts w:hint="eastAsia" w:ascii="宋体" w:hAnsi="宋体"/>
          <w:szCs w:val="21"/>
          <w:highlight w:val="none"/>
        </w:rPr>
        <w:t>（采购单位名称）：</w:t>
      </w:r>
    </w:p>
    <w:p w14:paraId="6E916F6F">
      <w:pPr>
        <w:snapToGrid w:val="0"/>
        <w:spacing w:line="360" w:lineRule="auto"/>
        <w:ind w:firstLine="440" w:firstLineChars="200"/>
        <w:rPr>
          <w:rFonts w:ascii="宋体" w:hAnsi="宋体"/>
          <w:szCs w:val="21"/>
          <w:highlight w:val="none"/>
          <w:u w:val="single"/>
        </w:rPr>
      </w:pPr>
      <w:r>
        <w:rPr>
          <w:rFonts w:hint="eastAsia" w:ascii="宋体" w:hAnsi="宋体"/>
          <w:szCs w:val="21"/>
          <w:highlight w:val="none"/>
        </w:rPr>
        <w:t>我（姓名）系（供应商名称）的</w:t>
      </w:r>
      <w:r>
        <w:rPr>
          <w:rFonts w:hint="eastAsia"/>
          <w:highlight w:val="none"/>
        </w:rPr>
        <w:t>法定代表人（企业负责人）</w:t>
      </w:r>
      <w:r>
        <w:rPr>
          <w:rFonts w:hint="eastAsia" w:ascii="宋体" w:hAnsi="宋体"/>
          <w:szCs w:val="21"/>
          <w:highlight w:val="none"/>
        </w:rPr>
        <w:t>，现授权委托本单位在职职工 （姓名）以我方的名义参加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highlight w:val="none"/>
          <w:u w:val="single"/>
        </w:rPr>
      </w:pPr>
      <w:r>
        <w:rPr>
          <w:rFonts w:hint="eastAsia" w:ascii="宋体" w:hAnsi="宋体"/>
          <w:szCs w:val="21"/>
          <w:highlight w:val="none"/>
        </w:rPr>
        <w:t>我方对被授权人的签名事项负全部责任。</w:t>
      </w:r>
    </w:p>
    <w:p w14:paraId="4C31A73C">
      <w:pPr>
        <w:snapToGrid w:val="0"/>
        <w:spacing w:line="360" w:lineRule="auto"/>
        <w:ind w:firstLine="440" w:firstLineChars="200"/>
        <w:rPr>
          <w:rFonts w:ascii="宋体" w:hAnsi="宋体"/>
          <w:szCs w:val="21"/>
          <w:highlight w:val="none"/>
        </w:rPr>
      </w:pPr>
      <w:r>
        <w:rPr>
          <w:rFonts w:hint="eastAsia" w:ascii="宋体" w:hAnsi="宋体"/>
          <w:szCs w:val="21"/>
          <w:highlight w:val="none"/>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highlight w:val="none"/>
        </w:rPr>
      </w:pPr>
      <w:r>
        <w:rPr>
          <w:rFonts w:hint="eastAsia" w:ascii="宋体" w:hAnsi="宋体"/>
          <w:szCs w:val="21"/>
          <w:highlight w:val="none"/>
        </w:rPr>
        <w:t>被授权人无转委托权，特此委托。</w:t>
      </w:r>
    </w:p>
    <w:p w14:paraId="6701726E">
      <w:pPr>
        <w:snapToGrid w:val="0"/>
        <w:spacing w:line="360" w:lineRule="auto"/>
        <w:rPr>
          <w:rFonts w:ascii="宋体" w:hAnsi="宋体"/>
          <w:szCs w:val="21"/>
          <w:highlight w:val="none"/>
        </w:rPr>
      </w:pPr>
    </w:p>
    <w:p w14:paraId="4F78425C">
      <w:pPr>
        <w:snapToGrid w:val="0"/>
        <w:spacing w:line="360" w:lineRule="auto"/>
        <w:rPr>
          <w:rFonts w:ascii="宋体" w:hAnsi="宋体"/>
          <w:szCs w:val="21"/>
          <w:highlight w:val="none"/>
        </w:rPr>
      </w:pPr>
    </w:p>
    <w:p w14:paraId="4F688CDB">
      <w:pPr>
        <w:snapToGrid w:val="0"/>
        <w:spacing w:line="360" w:lineRule="auto"/>
        <w:rPr>
          <w:rFonts w:ascii="宋体" w:hAnsi="宋体"/>
          <w:szCs w:val="21"/>
          <w:highlight w:val="none"/>
          <w:u w:val="single"/>
        </w:rPr>
      </w:pPr>
      <w:r>
        <w:rPr>
          <w:rFonts w:hint="eastAsia" w:ascii="宋体" w:hAnsi="宋体"/>
          <w:szCs w:val="21"/>
          <w:highlight w:val="none"/>
        </w:rPr>
        <w:t>被授权人姓名：                 法定代表人姓名：</w:t>
      </w:r>
    </w:p>
    <w:p w14:paraId="79890862">
      <w:pPr>
        <w:snapToGrid w:val="0"/>
        <w:spacing w:line="360" w:lineRule="auto"/>
        <w:ind w:firstLine="880" w:firstLineChars="400"/>
        <w:rPr>
          <w:rFonts w:ascii="宋体" w:hAnsi="宋体"/>
          <w:szCs w:val="21"/>
          <w:highlight w:val="none"/>
        </w:rPr>
      </w:pPr>
      <w:r>
        <w:rPr>
          <w:rFonts w:hint="eastAsia" w:ascii="宋体" w:hAnsi="宋体"/>
          <w:szCs w:val="21"/>
          <w:highlight w:val="none"/>
        </w:rPr>
        <w:t>职务：                          职务：</w:t>
      </w:r>
    </w:p>
    <w:p w14:paraId="6BBD3936">
      <w:pPr>
        <w:snapToGrid w:val="0"/>
        <w:spacing w:line="360" w:lineRule="auto"/>
        <w:rPr>
          <w:rFonts w:ascii="宋体" w:hAnsi="宋体"/>
          <w:szCs w:val="21"/>
          <w:highlight w:val="none"/>
        </w:rPr>
      </w:pPr>
      <w:r>
        <w:rPr>
          <w:rFonts w:hint="eastAsia" w:ascii="宋体" w:hAnsi="宋体"/>
          <w:szCs w:val="21"/>
          <w:highlight w:val="none"/>
        </w:rPr>
        <w:t>被授权人身份证号码：</w:t>
      </w:r>
    </w:p>
    <w:p w14:paraId="6867E869">
      <w:pPr>
        <w:snapToGrid w:val="0"/>
        <w:spacing w:line="360" w:lineRule="auto"/>
        <w:rPr>
          <w:rFonts w:ascii="宋体" w:hAnsi="宋体"/>
          <w:szCs w:val="21"/>
          <w:highlight w:val="none"/>
        </w:rPr>
      </w:pPr>
    </w:p>
    <w:p w14:paraId="397AAA21">
      <w:pPr>
        <w:snapToGrid w:val="0"/>
        <w:spacing w:line="360" w:lineRule="auto"/>
        <w:rPr>
          <w:rFonts w:ascii="宋体" w:hAnsi="宋体"/>
          <w:szCs w:val="21"/>
          <w:highlight w:val="none"/>
        </w:rPr>
      </w:pPr>
    </w:p>
    <w:p w14:paraId="28165C2F">
      <w:pPr>
        <w:snapToGrid w:val="0"/>
        <w:spacing w:line="360" w:lineRule="auto"/>
        <w:ind w:firstLine="5720" w:firstLineChars="2600"/>
        <w:rPr>
          <w:rFonts w:ascii="宋体" w:hAnsi="宋体"/>
          <w:szCs w:val="21"/>
          <w:highlight w:val="none"/>
        </w:rPr>
      </w:pPr>
      <w:r>
        <w:rPr>
          <w:rFonts w:hint="eastAsia" w:ascii="宋体" w:hAnsi="宋体"/>
          <w:szCs w:val="21"/>
          <w:highlight w:val="none"/>
        </w:rPr>
        <w:t>供应商盖章：</w:t>
      </w:r>
    </w:p>
    <w:p w14:paraId="7EE9F276">
      <w:pPr>
        <w:snapToGrid w:val="0"/>
        <w:spacing w:line="360" w:lineRule="auto"/>
        <w:ind w:firstLine="5060" w:firstLineChars="2300"/>
        <w:rPr>
          <w:rFonts w:ascii="宋体" w:hAnsi="宋体"/>
          <w:szCs w:val="21"/>
          <w:highlight w:val="none"/>
        </w:rPr>
      </w:pPr>
    </w:p>
    <w:p w14:paraId="18719FBA">
      <w:pPr>
        <w:snapToGrid w:val="0"/>
        <w:spacing w:line="360" w:lineRule="auto"/>
        <w:jc w:val="center"/>
        <w:rPr>
          <w:rFonts w:ascii="宋体" w:hAnsi="宋体"/>
          <w:szCs w:val="21"/>
          <w:highlight w:val="none"/>
        </w:rPr>
      </w:pPr>
      <w:r>
        <w:rPr>
          <w:rFonts w:hint="eastAsia" w:ascii="宋体" w:hAnsi="宋体"/>
          <w:szCs w:val="21"/>
          <w:highlight w:val="none"/>
        </w:rPr>
        <w:t xml:space="preserve">                                        年    月    日</w:t>
      </w:r>
    </w:p>
    <w:p w14:paraId="48AF7CE7">
      <w:pPr>
        <w:spacing w:line="360" w:lineRule="auto"/>
        <w:rPr>
          <w:rFonts w:ascii="宋体" w:hAnsi="宋体"/>
          <w:b/>
          <w:szCs w:val="21"/>
          <w:highlight w:val="none"/>
        </w:rPr>
      </w:pPr>
    </w:p>
    <w:p w14:paraId="16E565FA">
      <w:pPr>
        <w:spacing w:line="360" w:lineRule="auto"/>
        <w:rPr>
          <w:rFonts w:ascii="宋体" w:hAnsi="宋体"/>
          <w:b/>
          <w:szCs w:val="21"/>
          <w:highlight w:val="none"/>
        </w:rPr>
      </w:pPr>
    </w:p>
    <w:p w14:paraId="6FDFC64F">
      <w:pPr>
        <w:spacing w:line="360" w:lineRule="auto"/>
        <w:rPr>
          <w:rFonts w:ascii="宋体" w:hAnsi="宋体"/>
          <w:b/>
          <w:szCs w:val="21"/>
          <w:highlight w:val="none"/>
        </w:rPr>
      </w:pPr>
      <w:r>
        <w:rPr>
          <w:rFonts w:hint="eastAsia" w:ascii="宋体" w:hAnsi="宋体"/>
          <w:b/>
          <w:szCs w:val="21"/>
          <w:highlight w:val="none"/>
        </w:rPr>
        <w:t>附：法定代表人（企业负责人）身份证复印件（正反面）、授权代表身份证复印件（正反面）、授权代表近三个月内任一个月的社保缴纳证明</w:t>
      </w:r>
    </w:p>
    <w:p w14:paraId="022BB910">
      <w:pPr>
        <w:pStyle w:val="3"/>
        <w:rPr>
          <w:rFonts w:hint="eastAsia" w:ascii="宋体" w:hAnsi="宋体"/>
          <w:b/>
          <w:szCs w:val="21"/>
          <w:highlight w:val="none"/>
        </w:rPr>
      </w:pPr>
    </w:p>
    <w:p w14:paraId="1658C76B">
      <w:pPr>
        <w:pStyle w:val="4"/>
        <w:numPr>
          <w:ilvl w:val="0"/>
          <w:numId w:val="0"/>
        </w:numPr>
        <w:ind w:left="432" w:leftChars="0" w:hanging="432" w:firstLineChars="0"/>
        <w:rPr>
          <w:rFonts w:hint="default" w:eastAsia="宋体"/>
          <w:highlight w:val="none"/>
          <w:lang w:val="en-US" w:eastAsia="zh-CN"/>
        </w:rPr>
      </w:pPr>
      <w:bookmarkStart w:id="0" w:name="_Toc134884493"/>
      <w:r>
        <w:rPr>
          <w:rFonts w:hint="eastAsia" w:cs="宋体"/>
          <w:b/>
          <w:bCs/>
          <w:i w:val="0"/>
          <w:kern w:val="44"/>
          <w:sz w:val="24"/>
          <w:szCs w:val="24"/>
          <w:highlight w:val="none"/>
          <w:lang w:val="en-US" w:eastAsia="zh-CN" w:bidi="ar-SA"/>
        </w:rPr>
        <w:t>7.2</w:t>
      </w:r>
      <w:r>
        <w:rPr>
          <w:rFonts w:hint="eastAsia" w:ascii="宋体" w:hAnsi="宋体" w:eastAsia="宋体" w:cs="宋体"/>
          <w:b/>
          <w:bCs/>
          <w:i w:val="0"/>
          <w:kern w:val="44"/>
          <w:sz w:val="24"/>
          <w:szCs w:val="24"/>
          <w:highlight w:val="none"/>
          <w:lang w:val="en-US" w:eastAsia="zh-CN" w:bidi="ar-SA"/>
        </w:rPr>
        <w:t>、</w:t>
      </w:r>
      <w:bookmarkEnd w:id="0"/>
      <w:r>
        <w:rPr>
          <w:rFonts w:hint="eastAsia"/>
          <w:highlight w:val="none"/>
          <w:lang w:val="en-US" w:eastAsia="zh-CN"/>
        </w:rPr>
        <w:t>报价文件</w:t>
      </w:r>
    </w:p>
    <w:p w14:paraId="7F1D59D9">
      <w:pPr>
        <w:pStyle w:val="12"/>
        <w:rPr>
          <w:highlight w:val="none"/>
        </w:rPr>
      </w:pPr>
      <w:r>
        <w:rPr>
          <w:rFonts w:hint="eastAsia"/>
          <w:highlight w:val="none"/>
        </w:rPr>
        <w:t>开标一览表</w:t>
      </w:r>
    </w:p>
    <w:p w14:paraId="700B51D2">
      <w:pPr>
        <w:rPr>
          <w:highlight w:val="none"/>
          <w:u w:val="single"/>
          <w:lang w:val="zh-CN"/>
        </w:rPr>
      </w:pPr>
      <w:r>
        <w:rPr>
          <w:rFonts w:hint="eastAsia"/>
          <w:highlight w:val="none"/>
          <w:lang w:val="zh-CN"/>
        </w:rPr>
        <w:t>项目名称：</w:t>
      </w:r>
      <w:r>
        <w:rPr>
          <w:rFonts w:hint="eastAsia"/>
          <w:highlight w:val="none"/>
          <w:u w:val="single"/>
          <w:lang w:val="zh-CN"/>
        </w:rPr>
        <w:t xml:space="preserve"> 宁波市鄞州保安服务有限公司下应滨水公园监控相关设备采购建设项目</w:t>
      </w:r>
    </w:p>
    <w:p w14:paraId="41604A57">
      <w:pPr>
        <w:ind w:firstLine="440"/>
        <w:jc w:val="right"/>
        <w:rPr>
          <w:rFonts w:hint="eastAsia"/>
          <w:highlight w:val="none"/>
        </w:rPr>
      </w:pPr>
    </w:p>
    <w:p w14:paraId="19D72E0D">
      <w:pPr>
        <w:ind w:firstLine="440"/>
        <w:jc w:val="right"/>
        <w:rPr>
          <w:highlight w:val="none"/>
        </w:rPr>
      </w:pPr>
      <w:r>
        <w:rPr>
          <w:rFonts w:hint="eastAsia"/>
          <w:highlight w:val="none"/>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rPr>
                <w:highlight w:val="none"/>
              </w:rPr>
            </w:pPr>
            <w:r>
              <w:rPr>
                <w:rFonts w:hint="eastAsia"/>
                <w:highlight w:val="none"/>
              </w:rPr>
              <w:t>项目名称</w:t>
            </w:r>
          </w:p>
        </w:tc>
        <w:tc>
          <w:tcPr>
            <w:tcW w:w="4837" w:type="dxa"/>
            <w:vAlign w:val="center"/>
          </w:tcPr>
          <w:p w14:paraId="4BA37A60">
            <w:pPr>
              <w:jc w:val="center"/>
              <w:rPr>
                <w:highlight w:val="none"/>
              </w:rPr>
            </w:pPr>
            <w:r>
              <w:rPr>
                <w:rFonts w:hint="eastAsia"/>
                <w:highlight w:val="none"/>
              </w:rPr>
              <w:t>宁波市鄞州保安服务有限公司下应滨水公园监控相关设备采购建设项目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rPr>
                <w:highlight w:val="none"/>
              </w:rPr>
            </w:pPr>
            <w:r>
              <w:rPr>
                <w:rFonts w:hint="eastAsia"/>
                <w:highlight w:val="none"/>
              </w:rPr>
              <w:t>投标总价（小写）</w:t>
            </w:r>
          </w:p>
        </w:tc>
        <w:tc>
          <w:tcPr>
            <w:tcW w:w="4837" w:type="dxa"/>
            <w:vAlign w:val="center"/>
          </w:tcPr>
          <w:p w14:paraId="60258054">
            <w:pPr>
              <w:pStyle w:val="13"/>
              <w:jc w:val="center"/>
              <w:rPr>
                <w:rFonts w:hint="default" w:eastAsia="宋体"/>
                <w:highlight w:val="none"/>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rPr>
                <w:highlight w:val="none"/>
              </w:rPr>
            </w:pPr>
            <w:r>
              <w:rPr>
                <w:rFonts w:hint="eastAsia"/>
                <w:highlight w:val="none"/>
              </w:rPr>
              <w:t>投标总价（大写）</w:t>
            </w:r>
          </w:p>
        </w:tc>
        <w:tc>
          <w:tcPr>
            <w:tcW w:w="4837" w:type="dxa"/>
            <w:vAlign w:val="center"/>
          </w:tcPr>
          <w:p w14:paraId="0E54B96E">
            <w:pPr>
              <w:pStyle w:val="13"/>
              <w:jc w:val="center"/>
              <w:rPr>
                <w:highlight w:val="none"/>
              </w:rPr>
            </w:pPr>
          </w:p>
        </w:tc>
      </w:tr>
    </w:tbl>
    <w:p w14:paraId="6557F6B8">
      <w:pPr>
        <w:ind w:firstLine="440"/>
        <w:rPr>
          <w:highlight w:val="none"/>
        </w:rPr>
      </w:pPr>
      <w:r>
        <w:rPr>
          <w:highlight w:val="none"/>
        </w:rPr>
        <w:t>1、报价一经涂改，应在涂改处加盖单位公章或者由法定代表人或授权委托人签名或盖章，否则其投标作无效标处理。</w:t>
      </w:r>
    </w:p>
    <w:p w14:paraId="07DD1F6C">
      <w:pPr>
        <w:ind w:firstLine="440"/>
        <w:rPr>
          <w:highlight w:val="none"/>
        </w:rPr>
      </w:pPr>
    </w:p>
    <w:p w14:paraId="4CA5647F">
      <w:pPr>
        <w:ind w:firstLine="440"/>
        <w:rPr>
          <w:highlight w:val="none"/>
        </w:rPr>
      </w:pPr>
    </w:p>
    <w:p w14:paraId="57E74A9F">
      <w:pPr>
        <w:pStyle w:val="14"/>
        <w:rPr>
          <w:highlight w:val="none"/>
        </w:rPr>
      </w:pPr>
      <w:r>
        <w:rPr>
          <w:rFonts w:hint="eastAsia"/>
          <w:highlight w:val="none"/>
        </w:rPr>
        <w:t>投标人名称（盖章）：</w:t>
      </w:r>
    </w:p>
    <w:p w14:paraId="3930BBC7">
      <w:pPr>
        <w:pStyle w:val="14"/>
        <w:rPr>
          <w:highlight w:val="none"/>
        </w:rPr>
      </w:pPr>
      <w:r>
        <w:rPr>
          <w:rFonts w:hint="eastAsia"/>
          <w:highlight w:val="none"/>
        </w:rPr>
        <w:t>法定代表人或授权代表（签名或印章）：</w:t>
      </w:r>
    </w:p>
    <w:p w14:paraId="6FF32D83">
      <w:pPr>
        <w:pStyle w:val="14"/>
        <w:rPr>
          <w:highlight w:val="none"/>
        </w:rPr>
      </w:pPr>
      <w:r>
        <w:rPr>
          <w:rFonts w:hint="eastAsia"/>
          <w:highlight w:val="none"/>
        </w:rPr>
        <w:t>日    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14:paraId="51B79B6F">
      <w:pPr>
        <w:pStyle w:val="2"/>
        <w:rPr>
          <w:highlight w:val="none"/>
        </w:rPr>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2544FF4D">
      <w:pPr>
        <w:widowControl/>
        <w:jc w:val="both"/>
        <w:rPr>
          <w:rFonts w:hint="eastAsia" w:ascii="宋体" w:hAnsi="宋体" w:cs="宋体"/>
          <w:b/>
          <w:bCs/>
          <w:color w:val="auto"/>
          <w:sz w:val="24"/>
          <w:highlight w:val="none"/>
        </w:rPr>
      </w:pPr>
    </w:p>
    <w:p w14:paraId="5D263F27">
      <w:pPr>
        <w:widowControl/>
        <w:jc w:val="center"/>
        <w:rPr>
          <w:rFonts w:hint="eastAsia" w:ascii="宋体" w:hAnsi="宋体" w:cs="宋体"/>
          <w:b/>
          <w:bCs/>
          <w:color w:val="auto"/>
          <w:sz w:val="24"/>
          <w:highlight w:val="none"/>
        </w:rPr>
      </w:pPr>
    </w:p>
    <w:p w14:paraId="432F8C60">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投标分项报价表</w:t>
      </w:r>
    </w:p>
    <w:p w14:paraId="1C0957EF">
      <w:pPr>
        <w:rPr>
          <w:highlight w:val="none"/>
        </w:rPr>
      </w:pPr>
    </w:p>
    <w:p w14:paraId="312CACA6">
      <w:pPr>
        <w:rPr>
          <w:rFonts w:hint="eastAsia" w:ascii="Calibri" w:hAnsi="Calibri" w:cs="Calibri"/>
          <w:b w:val="0"/>
          <w:bCs w:val="0"/>
          <w:color w:val="auto"/>
          <w:kern w:val="0"/>
          <w:sz w:val="22"/>
          <w:szCs w:val="22"/>
          <w:highlight w:val="none"/>
          <w:u w:val="single"/>
          <w:lang w:val="zh-CN" w:eastAsia="zh-CN" w:bidi="ar-SA"/>
        </w:rPr>
      </w:pPr>
      <w:r>
        <w:rPr>
          <w:rFonts w:hint="eastAsia"/>
          <w:highlight w:val="none"/>
          <w:lang w:val="zh-CN"/>
        </w:rPr>
        <w:t>项目名称：</w:t>
      </w:r>
      <w:r>
        <w:rPr>
          <w:rFonts w:hint="eastAsia"/>
          <w:highlight w:val="none"/>
          <w:u w:val="single"/>
          <w:lang w:val="zh-CN"/>
        </w:rPr>
        <w:t xml:space="preserve"> </w:t>
      </w:r>
      <w:r>
        <w:rPr>
          <w:highlight w:val="none"/>
          <w:u w:val="single"/>
          <w:lang w:val="zh-CN"/>
        </w:rPr>
        <w:t xml:space="preserve"> </w:t>
      </w:r>
      <w:r>
        <w:rPr>
          <w:rFonts w:hint="eastAsia"/>
          <w:highlight w:val="none"/>
          <w:u w:val="single"/>
          <w:lang w:val="zh-CN" w:eastAsia="zh-CN"/>
        </w:rPr>
        <w:t>宁波市鄞州保安服务有限公司下应滨水公园监控相关设备采购建设项目</w:t>
      </w:r>
    </w:p>
    <w:p w14:paraId="423C0B9A">
      <w:pPr>
        <w:rPr>
          <w:highlight w:val="none"/>
          <w:lang w:val="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456"/>
        <w:gridCol w:w="4383"/>
        <w:gridCol w:w="456"/>
        <w:gridCol w:w="456"/>
        <w:gridCol w:w="460"/>
        <w:gridCol w:w="936"/>
        <w:gridCol w:w="456"/>
        <w:gridCol w:w="456"/>
      </w:tblGrid>
      <w:tr w14:paraId="4C73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0CA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96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9B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技术参数描述</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99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B42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设备品牌</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9E8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B31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052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5BA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0CFC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6A1A">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CB68">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3米立杆设备箱</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B6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300mm*250mm*150mm箱体材质采用304不锈钢，厚度≥0.8mm.离地2.2米安装，机箱门定制字样；同时具有防雨、防尘、防高温、防盗、防盐雾和防腐蚀等功能。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9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21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E5E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F4FB">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BD1E">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6C6D">
            <w:pPr>
              <w:jc w:val="center"/>
              <w:rPr>
                <w:rFonts w:hint="eastAsia" w:ascii="仿宋" w:hAnsi="仿宋" w:eastAsia="仿宋" w:cs="仿宋"/>
                <w:i w:val="0"/>
                <w:iCs w:val="0"/>
                <w:color w:val="000000"/>
                <w:sz w:val="24"/>
                <w:szCs w:val="24"/>
                <w:u w:val="none"/>
              </w:rPr>
            </w:pPr>
          </w:p>
        </w:tc>
      </w:tr>
      <w:tr w14:paraId="7B27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43C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48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6米立杆设备箱</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5F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静电喷塑，背部或底部进线、可支架或抱箍安装；尺寸可按需定制。外壳防护等级符合IP55的等级要求；箱体防雨设计；厚度≥1.2mm；机箱门定制字样；同时具有防雨、防尘、防高温、防盗、防盐雾和防腐蚀等功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A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7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1B3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06D3">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2378">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C679">
            <w:pPr>
              <w:jc w:val="center"/>
              <w:rPr>
                <w:rFonts w:hint="eastAsia" w:ascii="仿宋" w:hAnsi="仿宋" w:eastAsia="仿宋" w:cs="仿宋"/>
                <w:i w:val="0"/>
                <w:iCs w:val="0"/>
                <w:color w:val="000000"/>
                <w:sz w:val="24"/>
                <w:szCs w:val="24"/>
                <w:u w:val="none"/>
              </w:rPr>
            </w:pPr>
          </w:p>
        </w:tc>
      </w:tr>
      <w:tr w14:paraId="4E68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22E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F2D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6</w:t>
            </w:r>
            <w:r>
              <w:rPr>
                <w:rStyle w:val="16"/>
                <w:lang w:val="en-US" w:eastAsia="zh-CN" w:bidi="ar"/>
              </w:rPr>
              <w:t>米立杆</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A1CB">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L</w:t>
            </w:r>
            <w:r>
              <w:rPr>
                <w:rStyle w:val="16"/>
                <w:lang w:val="en-US" w:eastAsia="zh-CN" w:bidi="ar"/>
              </w:rPr>
              <w:t>形杆，</w:t>
            </w:r>
            <w:r>
              <w:rPr>
                <w:rStyle w:val="15"/>
                <w:rFonts w:eastAsia="宋体"/>
                <w:lang w:val="en-US" w:eastAsia="zh-CN" w:bidi="ar"/>
              </w:rPr>
              <w:t>6</w:t>
            </w:r>
            <w:r>
              <w:rPr>
                <w:rStyle w:val="16"/>
                <w:lang w:val="en-US" w:eastAsia="zh-CN" w:bidi="ar"/>
              </w:rPr>
              <w:t>米，挑</w:t>
            </w:r>
            <w:r>
              <w:rPr>
                <w:rStyle w:val="15"/>
                <w:rFonts w:eastAsia="宋体"/>
                <w:lang w:val="en-US" w:eastAsia="zh-CN" w:bidi="ar"/>
              </w:rPr>
              <w:t>3-4</w:t>
            </w:r>
            <w:r>
              <w:rPr>
                <w:rStyle w:val="16"/>
                <w:lang w:val="en-US" w:eastAsia="zh-CN" w:bidi="ar"/>
              </w:rPr>
              <w:t>米，立杆壁厚</w:t>
            </w:r>
            <w:r>
              <w:rPr>
                <w:rStyle w:val="15"/>
                <w:rFonts w:eastAsia="宋体"/>
                <w:lang w:val="en-US" w:eastAsia="zh-CN" w:bidi="ar"/>
              </w:rPr>
              <w:t>6MM</w:t>
            </w:r>
            <w:r>
              <w:rPr>
                <w:rStyle w:val="16"/>
                <w:lang w:val="en-US" w:eastAsia="zh-CN" w:bidi="ar"/>
              </w:rPr>
              <w:t>，挑臂壁厚</w:t>
            </w:r>
            <w:r>
              <w:rPr>
                <w:rStyle w:val="15"/>
                <w:rFonts w:eastAsia="宋体"/>
                <w:lang w:val="en-US" w:eastAsia="zh-CN" w:bidi="ar"/>
              </w:rPr>
              <w:t>4MM</w:t>
            </w:r>
            <w:r>
              <w:rPr>
                <w:rStyle w:val="16"/>
                <w:lang w:val="en-US" w:eastAsia="zh-CN" w:bidi="ar"/>
              </w:rPr>
              <w:t>，材料采用热轧钢板（</w:t>
            </w:r>
            <w:r>
              <w:rPr>
                <w:rStyle w:val="15"/>
                <w:rFonts w:eastAsia="宋体"/>
                <w:lang w:val="en-US" w:eastAsia="zh-CN" w:bidi="ar"/>
              </w:rPr>
              <w:t>Q235</w:t>
            </w:r>
            <w:r>
              <w:rPr>
                <w:rStyle w:val="16"/>
                <w:lang w:val="en-US" w:eastAsia="zh-CN" w:bidi="ar"/>
              </w:rPr>
              <w:t>），热镀锌按国家标准，镀锌层厚度≥</w:t>
            </w:r>
            <w:r>
              <w:rPr>
                <w:rStyle w:val="15"/>
                <w:rFonts w:eastAsia="宋体"/>
                <w:lang w:val="en-US" w:eastAsia="zh-CN" w:bidi="ar"/>
              </w:rPr>
              <w:t>85</w:t>
            </w:r>
            <w:r>
              <w:rPr>
                <w:rStyle w:val="16"/>
                <w:lang w:val="en-US" w:eastAsia="zh-CN" w:bidi="ar"/>
              </w:rPr>
              <w:t>μ</w:t>
            </w:r>
            <w:r>
              <w:rPr>
                <w:rStyle w:val="15"/>
                <w:rFonts w:eastAsia="宋体"/>
                <w:lang w:val="en-US" w:eastAsia="zh-CN" w:bidi="ar"/>
              </w:rPr>
              <w:t>m</w:t>
            </w:r>
            <w:r>
              <w:rPr>
                <w:rStyle w:val="16"/>
                <w:lang w:val="en-US" w:eastAsia="zh-CN" w:bidi="ar"/>
              </w:rPr>
              <w:t>，保证</w:t>
            </w:r>
            <w:r>
              <w:rPr>
                <w:rStyle w:val="15"/>
                <w:rFonts w:eastAsia="宋体"/>
                <w:lang w:val="en-US" w:eastAsia="zh-CN" w:bidi="ar"/>
              </w:rPr>
              <w:t>20</w:t>
            </w:r>
            <w:r>
              <w:rPr>
                <w:rStyle w:val="16"/>
                <w:lang w:val="en-US" w:eastAsia="zh-CN" w:bidi="ar"/>
              </w:rPr>
              <w:t>年不锈蚀；喷塑：厚度</w:t>
            </w:r>
            <w:r>
              <w:rPr>
                <w:rStyle w:val="15"/>
                <w:rFonts w:eastAsia="宋体"/>
                <w:lang w:val="en-US" w:eastAsia="zh-CN" w:bidi="ar"/>
              </w:rPr>
              <w:t>0.5mm</w:t>
            </w:r>
            <w:r>
              <w:rPr>
                <w:rStyle w:val="16"/>
                <w:lang w:val="en-US" w:eastAsia="zh-CN" w:bidi="ar"/>
              </w:rPr>
              <w:t>以上，色泽均匀；立杆底板采用</w:t>
            </w:r>
            <w:r>
              <w:rPr>
                <w:rStyle w:val="15"/>
                <w:rFonts w:eastAsia="宋体"/>
                <w:lang w:val="en-US" w:eastAsia="zh-CN" w:bidi="ar"/>
              </w:rPr>
              <w:t>420*420MM</w:t>
            </w:r>
            <w:r>
              <w:rPr>
                <w:rStyle w:val="16"/>
                <w:lang w:val="en-US" w:eastAsia="zh-CN" w:bidi="ar"/>
              </w:rPr>
              <w:t>正方形或直径Ф</w:t>
            </w:r>
            <w:r>
              <w:rPr>
                <w:rStyle w:val="15"/>
                <w:rFonts w:eastAsia="宋体"/>
                <w:lang w:val="en-US" w:eastAsia="zh-CN" w:bidi="ar"/>
              </w:rPr>
              <w:t>420MM</w:t>
            </w:r>
            <w:r>
              <w:rPr>
                <w:rStyle w:val="16"/>
                <w:lang w:val="en-US" w:eastAsia="zh-CN" w:bidi="ar"/>
              </w:rPr>
              <w:t>圆形钢板，厚度</w:t>
            </w:r>
            <w:r>
              <w:rPr>
                <w:rStyle w:val="15"/>
                <w:rFonts w:eastAsia="宋体"/>
                <w:lang w:val="en-US" w:eastAsia="zh-CN" w:bidi="ar"/>
              </w:rPr>
              <w:t>20MM</w:t>
            </w:r>
            <w:r>
              <w:rPr>
                <w:rStyle w:val="16"/>
                <w:lang w:val="en-US" w:eastAsia="zh-CN" w:bidi="ar"/>
              </w:rPr>
              <w:t>，带加强筋，配套地笼、螺丝及垫片、法兰底板等。</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3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6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17E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382E">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582A">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D07D">
            <w:pPr>
              <w:jc w:val="center"/>
              <w:rPr>
                <w:rFonts w:hint="eastAsia" w:ascii="仿宋" w:hAnsi="仿宋" w:eastAsia="仿宋" w:cs="仿宋"/>
                <w:i w:val="0"/>
                <w:iCs w:val="0"/>
                <w:color w:val="000000"/>
                <w:sz w:val="24"/>
                <w:szCs w:val="24"/>
                <w:u w:val="none"/>
              </w:rPr>
            </w:pPr>
          </w:p>
        </w:tc>
      </w:tr>
      <w:tr w14:paraId="3C07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167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DC8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6</w:t>
            </w:r>
            <w:r>
              <w:rPr>
                <w:rStyle w:val="16"/>
                <w:lang w:val="en-US" w:eastAsia="zh-CN" w:bidi="ar"/>
              </w:rPr>
              <w:t>米立杆基础开挖</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ADF4">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1M</w:t>
            </w:r>
            <w:r>
              <w:rPr>
                <w:rStyle w:val="17"/>
                <w:lang w:val="en-US" w:eastAsia="zh-CN" w:bidi="ar"/>
              </w:rPr>
              <w:t>（宽）</w:t>
            </w:r>
            <w:r>
              <w:rPr>
                <w:rStyle w:val="15"/>
                <w:rFonts w:eastAsia="宋体"/>
                <w:lang w:val="en-US" w:eastAsia="zh-CN" w:bidi="ar"/>
              </w:rPr>
              <w:t>*1M</w:t>
            </w:r>
            <w:r>
              <w:rPr>
                <w:rStyle w:val="17"/>
                <w:lang w:val="en-US" w:eastAsia="zh-CN" w:bidi="ar"/>
              </w:rPr>
              <w:t>（宽）</w:t>
            </w:r>
            <w:r>
              <w:rPr>
                <w:rStyle w:val="15"/>
                <w:rFonts w:eastAsia="宋体"/>
                <w:lang w:val="en-US" w:eastAsia="zh-CN" w:bidi="ar"/>
              </w:rPr>
              <w:t>*1.5M</w:t>
            </w:r>
            <w:r>
              <w:rPr>
                <w:rStyle w:val="17"/>
                <w:lang w:val="en-US" w:eastAsia="zh-CN" w:bidi="ar"/>
              </w:rPr>
              <w:t>（深）</w:t>
            </w:r>
            <w:r>
              <w:rPr>
                <w:rStyle w:val="15"/>
                <w:rFonts w:eastAsia="宋体"/>
                <w:lang w:val="en-US" w:eastAsia="zh-CN" w:bidi="ar"/>
              </w:rPr>
              <w:t>C25</w:t>
            </w:r>
            <w:r>
              <w:rPr>
                <w:rStyle w:val="17"/>
                <w:lang w:val="en-US" w:eastAsia="zh-CN" w:bidi="ar"/>
              </w:rPr>
              <w:t>混凝土浇筑，接地电阻</w:t>
            </w:r>
            <w:r>
              <w:rPr>
                <w:rStyle w:val="15"/>
                <w:rFonts w:eastAsia="宋体"/>
                <w:lang w:val="en-US" w:eastAsia="zh-CN" w:bidi="ar"/>
              </w:rPr>
              <w:t>≤10Ω</w:t>
            </w:r>
            <w:r>
              <w:rPr>
                <w:rStyle w:val="17"/>
                <w:lang w:val="en-US" w:eastAsia="zh-CN" w:bidi="ar"/>
              </w:rPr>
              <w:t>（需要根据实际情况调整），渣土清运和路面修补；基础预埋件规格（</w:t>
            </w:r>
            <w:r>
              <w:rPr>
                <w:rStyle w:val="15"/>
                <w:rFonts w:eastAsia="宋体"/>
                <w:lang w:val="en-US" w:eastAsia="zh-CN" w:bidi="ar"/>
              </w:rPr>
              <w:t>6-M22</w:t>
            </w:r>
            <w:r>
              <w:rPr>
                <w:rStyle w:val="17"/>
                <w:lang w:val="en-US" w:eastAsia="zh-CN" w:bidi="ar"/>
              </w:rPr>
              <w:t>）</w:t>
            </w:r>
            <w:r>
              <w:rPr>
                <w:rStyle w:val="15"/>
                <w:rFonts w:eastAsia="宋体"/>
                <w:lang w:val="en-US" w:eastAsia="zh-CN" w:bidi="ar"/>
              </w:rPr>
              <w:t>*1400MM</w:t>
            </w:r>
            <w:r>
              <w:rPr>
                <w:rStyle w:val="17"/>
                <w:lang w:val="en-US" w:eastAsia="zh-CN" w:bidi="ar"/>
              </w:rPr>
              <w:t>；含防雷接地。根据现场实际需求定制手孔井，合复合井盖。</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E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3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C0F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A7B8">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6F5D">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2AEE">
            <w:pPr>
              <w:jc w:val="center"/>
              <w:rPr>
                <w:rFonts w:hint="eastAsia" w:ascii="仿宋" w:hAnsi="仿宋" w:eastAsia="仿宋" w:cs="仿宋"/>
                <w:i w:val="0"/>
                <w:iCs w:val="0"/>
                <w:color w:val="000000"/>
                <w:sz w:val="24"/>
                <w:szCs w:val="24"/>
                <w:u w:val="none"/>
              </w:rPr>
            </w:pPr>
          </w:p>
        </w:tc>
      </w:tr>
      <w:tr w14:paraId="0495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C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04C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3</w:t>
            </w:r>
            <w:r>
              <w:rPr>
                <w:rStyle w:val="16"/>
                <w:lang w:val="en-US" w:eastAsia="zh-CN" w:bidi="ar"/>
              </w:rPr>
              <w:t>米立杆</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E4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立杆高度3m，Φ140等径杆，管壁厚3mm；挑臂长根据现场情况定制，等径φ60，壁厚3mm；</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0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9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C95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A177">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0136">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D423">
            <w:pPr>
              <w:jc w:val="center"/>
              <w:rPr>
                <w:rFonts w:hint="eastAsia" w:ascii="仿宋" w:hAnsi="仿宋" w:eastAsia="仿宋" w:cs="仿宋"/>
                <w:i w:val="0"/>
                <w:iCs w:val="0"/>
                <w:color w:val="000000"/>
                <w:sz w:val="24"/>
                <w:szCs w:val="24"/>
                <w:u w:val="none"/>
              </w:rPr>
            </w:pPr>
          </w:p>
        </w:tc>
      </w:tr>
      <w:tr w14:paraId="499D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1CD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53A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5"/>
                <w:rFonts w:eastAsia="宋体"/>
                <w:lang w:val="en-US" w:eastAsia="zh-CN" w:bidi="ar"/>
              </w:rPr>
              <w:t>3</w:t>
            </w:r>
            <w:r>
              <w:rPr>
                <w:rStyle w:val="16"/>
                <w:lang w:val="en-US" w:eastAsia="zh-CN" w:bidi="ar"/>
              </w:rPr>
              <w:t>米立杆基础开挖</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7E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开挖尺寸不小于600mm*600mm*600mm基础预埋件规格（4-M15)*350mm'含混泥土浇筑，渣土清运和路面修复等，接地采用2米50mm*50m*5mm镀锌角铁打入地下，通过30mm*3mm镀锌扁钢与钢筋笼两端连接，接地电阻≤10欧，具体根据实际。</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4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0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AEA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6CE8">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A3ED">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72FE">
            <w:pPr>
              <w:jc w:val="center"/>
              <w:rPr>
                <w:rFonts w:hint="eastAsia" w:ascii="仿宋" w:hAnsi="仿宋" w:eastAsia="仿宋" w:cs="仿宋"/>
                <w:i w:val="0"/>
                <w:iCs w:val="0"/>
                <w:color w:val="000000"/>
                <w:sz w:val="24"/>
                <w:szCs w:val="24"/>
                <w:u w:val="none"/>
              </w:rPr>
            </w:pPr>
          </w:p>
        </w:tc>
      </w:tr>
      <w:tr w14:paraId="7F66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8F6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5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抱杆支架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9D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0.5-1米定制抱杆支架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0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0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ABA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42F3">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ED6B">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81ED">
            <w:pPr>
              <w:jc w:val="center"/>
              <w:rPr>
                <w:rFonts w:hint="eastAsia" w:ascii="仿宋" w:hAnsi="仿宋" w:eastAsia="仿宋" w:cs="仿宋"/>
                <w:i w:val="0"/>
                <w:iCs w:val="0"/>
                <w:color w:val="000000"/>
                <w:sz w:val="24"/>
                <w:szCs w:val="24"/>
                <w:u w:val="none"/>
              </w:rPr>
            </w:pPr>
          </w:p>
        </w:tc>
      </w:tr>
      <w:tr w14:paraId="2364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981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4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配套施工</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4D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6"/>
                <w:lang w:val="en-US" w:eastAsia="zh-CN" w:bidi="ar"/>
              </w:rPr>
              <w:t xml:space="preserve">根据现场实际情况，从就近市电配电箱或就近取电位置接入电力 、链路至前端设备抱杆箱内，保证监控设备的正常运行及网络传输设备使用，电力电缆规格 </w:t>
            </w:r>
            <w:r>
              <w:rPr>
                <w:rStyle w:val="15"/>
                <w:rFonts w:eastAsia="仿宋"/>
                <w:lang w:val="en-US" w:eastAsia="zh-CN" w:bidi="ar"/>
              </w:rPr>
              <w:t>YJV3*2.5</w:t>
            </w:r>
            <w:r>
              <w:rPr>
                <w:rStyle w:val="16"/>
                <w:lang w:val="en-US" w:eastAsia="zh-CN" w:bidi="ar"/>
              </w:rPr>
              <w:t xml:space="preserve">、线路管道根据现场环境进行开挖、配管（聚乙烯 </w:t>
            </w:r>
            <w:r>
              <w:rPr>
                <w:rStyle w:val="15"/>
                <w:rFonts w:eastAsia="仿宋"/>
                <w:lang w:val="en-US" w:eastAsia="zh-CN" w:bidi="ar"/>
              </w:rPr>
              <w:t xml:space="preserve">PE </w:t>
            </w:r>
            <w:r>
              <w:rPr>
                <w:rStyle w:val="16"/>
                <w:lang w:val="en-US" w:eastAsia="zh-CN" w:bidi="ar"/>
              </w:rPr>
              <w:t xml:space="preserve">管，φ </w:t>
            </w:r>
            <w:r>
              <w:rPr>
                <w:rStyle w:val="15"/>
                <w:rFonts w:eastAsia="仿宋"/>
                <w:lang w:val="en-US" w:eastAsia="zh-CN" w:bidi="ar"/>
              </w:rPr>
              <w:t>32</w:t>
            </w:r>
            <w:r>
              <w:rPr>
                <w:rStyle w:val="16"/>
                <w:lang w:val="en-US" w:eastAsia="zh-CN" w:bidi="ar"/>
              </w:rPr>
              <w:t>）、修复等工作。监控摄像机电源线，</w:t>
            </w:r>
            <w:r>
              <w:rPr>
                <w:rStyle w:val="15"/>
                <w:rFonts w:eastAsia="仿宋"/>
                <w:lang w:val="en-US" w:eastAsia="zh-CN" w:bidi="ar"/>
              </w:rPr>
              <w:t>RVV2*1.0</w:t>
            </w:r>
            <w:r>
              <w:rPr>
                <w:rStyle w:val="16"/>
                <w:lang w:val="en-US" w:eastAsia="zh-CN" w:bidi="ar"/>
              </w:rPr>
              <w:t>，超五类非屏蔽电缆等线缆及角铁支架、壁装固定支架、膨胀螺丝等固件辅材。</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3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A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国产定制</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CE4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8D88">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416D">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04C3">
            <w:pPr>
              <w:jc w:val="center"/>
              <w:rPr>
                <w:rFonts w:hint="eastAsia" w:ascii="仿宋" w:hAnsi="仿宋" w:eastAsia="仿宋" w:cs="仿宋"/>
                <w:i w:val="0"/>
                <w:iCs w:val="0"/>
                <w:color w:val="000000"/>
                <w:sz w:val="24"/>
                <w:szCs w:val="24"/>
                <w:u w:val="none"/>
              </w:rPr>
            </w:pPr>
          </w:p>
        </w:tc>
      </w:tr>
      <w:tr w14:paraId="23AD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5A4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7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标志标牌</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E2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6"/>
                <w:lang w:val="en-US" w:eastAsia="zh-CN" w:bidi="ar"/>
              </w:rPr>
              <w:t>方形标示牌，暂定为</w:t>
            </w:r>
            <w:r>
              <w:rPr>
                <w:rStyle w:val="15"/>
                <w:rFonts w:eastAsia="仿宋"/>
                <w:lang w:val="en-US" w:eastAsia="zh-CN" w:bidi="ar"/>
              </w:rPr>
              <w:t>780*480mm</w:t>
            </w:r>
            <w:r>
              <w:rPr>
                <w:rStyle w:val="16"/>
                <w:lang w:val="en-US" w:eastAsia="zh-CN" w:bidi="ar"/>
              </w:rPr>
              <w:t>，采用</w:t>
            </w:r>
            <w:r>
              <w:rPr>
                <w:rStyle w:val="15"/>
                <w:rFonts w:eastAsia="仿宋"/>
                <w:lang w:val="en-US" w:eastAsia="zh-CN" w:bidi="ar"/>
              </w:rPr>
              <w:t>2.5mm</w:t>
            </w:r>
            <w:r>
              <w:rPr>
                <w:rStyle w:val="16"/>
                <w:lang w:val="en-US" w:eastAsia="zh-CN" w:bidi="ar"/>
              </w:rPr>
              <w:t>的进口优质铝板，含相应抱箍配件，标示内容根据业主要求定制。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A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7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A4B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A461">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ABB9">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F120">
            <w:pPr>
              <w:jc w:val="center"/>
              <w:rPr>
                <w:rFonts w:hint="eastAsia" w:ascii="仿宋" w:hAnsi="仿宋" w:eastAsia="仿宋" w:cs="仿宋"/>
                <w:i w:val="0"/>
                <w:iCs w:val="0"/>
                <w:color w:val="000000"/>
                <w:sz w:val="24"/>
                <w:szCs w:val="24"/>
                <w:u w:val="none"/>
              </w:rPr>
            </w:pPr>
          </w:p>
        </w:tc>
      </w:tr>
      <w:tr w14:paraId="69C3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420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7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23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配套光纤跳线、插座、空气开关、六类非屏蔽网线、接地线等</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7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0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DF6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310A">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F9CD">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43EF">
            <w:pPr>
              <w:jc w:val="center"/>
              <w:rPr>
                <w:rFonts w:hint="eastAsia" w:ascii="仿宋" w:hAnsi="仿宋" w:eastAsia="仿宋" w:cs="仿宋"/>
                <w:i w:val="0"/>
                <w:iCs w:val="0"/>
                <w:color w:val="000000"/>
                <w:sz w:val="24"/>
                <w:szCs w:val="24"/>
                <w:u w:val="none"/>
              </w:rPr>
            </w:pPr>
          </w:p>
        </w:tc>
      </w:tr>
      <w:tr w14:paraId="39B1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477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E8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视频云存储节点</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76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6"/>
                <w:lang w:val="en-US" w:eastAsia="zh-CN" w:bidi="ar"/>
              </w:rPr>
              <w:t>不低于以下参数：主处理器：高性能多核处理器；高速缓存：</w:t>
            </w:r>
            <w:r>
              <w:rPr>
                <w:rStyle w:val="15"/>
                <w:rFonts w:eastAsia="仿宋"/>
                <w:lang w:val="en-US" w:eastAsia="zh-CN" w:bidi="ar"/>
              </w:rPr>
              <w:t xml:space="preserve">16GB DDR4 </w:t>
            </w:r>
            <w:r>
              <w:rPr>
                <w:rStyle w:val="16"/>
                <w:lang w:val="en-US" w:eastAsia="zh-CN" w:bidi="ar"/>
              </w:rPr>
              <w:t>；主频</w:t>
            </w:r>
            <w:r>
              <w:rPr>
                <w:rStyle w:val="15"/>
                <w:rFonts w:eastAsia="仿宋"/>
                <w:lang w:val="en-US" w:eastAsia="zh-CN" w:bidi="ar"/>
              </w:rPr>
              <w:t>2666MHz</w:t>
            </w:r>
            <w:r>
              <w:rPr>
                <w:rStyle w:val="16"/>
                <w:lang w:val="en-US" w:eastAsia="zh-CN" w:bidi="ar"/>
              </w:rPr>
              <w:t>；电源冗余：</w:t>
            </w:r>
            <w:r>
              <w:rPr>
                <w:rStyle w:val="15"/>
                <w:rFonts w:eastAsia="仿宋"/>
                <w:lang w:val="en-US" w:eastAsia="zh-CN" w:bidi="ar"/>
              </w:rPr>
              <w:t>1+1</w:t>
            </w:r>
            <w:r>
              <w:rPr>
                <w:rStyle w:val="16"/>
                <w:lang w:val="en-US" w:eastAsia="zh-CN" w:bidi="ar"/>
              </w:rPr>
              <w:t>冗余电源：网络接口：</w:t>
            </w:r>
            <w:r>
              <w:rPr>
                <w:rStyle w:val="15"/>
                <w:rFonts w:eastAsia="仿宋"/>
                <w:lang w:val="en-US" w:eastAsia="zh-CN" w:bidi="ar"/>
              </w:rPr>
              <w:t>8</w:t>
            </w:r>
            <w:r>
              <w:rPr>
                <w:rStyle w:val="16"/>
                <w:lang w:val="en-US" w:eastAsia="zh-CN" w:bidi="ar"/>
              </w:rPr>
              <w:t xml:space="preserve">个千兆数据电口；硬盘个数：标配内置 </w:t>
            </w:r>
            <w:r>
              <w:rPr>
                <w:rStyle w:val="15"/>
                <w:rFonts w:eastAsia="仿宋"/>
                <w:lang w:val="en-US" w:eastAsia="zh-CN" w:bidi="ar"/>
              </w:rPr>
              <w:t>1</w:t>
            </w:r>
            <w:r>
              <w:rPr>
                <w:rStyle w:val="16"/>
                <w:lang w:val="en-US" w:eastAsia="zh-CN" w:bidi="ar"/>
              </w:rPr>
              <w:t>块</w:t>
            </w:r>
            <w:r>
              <w:rPr>
                <w:rStyle w:val="15"/>
                <w:rFonts w:eastAsia="仿宋"/>
                <w:lang w:val="en-US" w:eastAsia="zh-CN" w:bidi="ar"/>
              </w:rPr>
              <w:t>2.5</w:t>
            </w:r>
            <w:r>
              <w:rPr>
                <w:rStyle w:val="16"/>
                <w:lang w:val="en-US" w:eastAsia="zh-CN" w:bidi="ar"/>
              </w:rPr>
              <w:t>英寸</w:t>
            </w:r>
            <w:r>
              <w:rPr>
                <w:rStyle w:val="15"/>
                <w:rFonts w:eastAsia="仿宋"/>
                <w:lang w:val="en-US" w:eastAsia="zh-CN" w:bidi="ar"/>
              </w:rPr>
              <w:t>SATA 240G</w:t>
            </w:r>
            <w:r>
              <w:rPr>
                <w:rStyle w:val="16"/>
                <w:lang w:val="en-US" w:eastAsia="zh-CN" w:bidi="ar"/>
              </w:rPr>
              <w:t>企业级固态硬盘；最大支持</w:t>
            </w:r>
            <w:r>
              <w:rPr>
                <w:rStyle w:val="15"/>
                <w:rFonts w:eastAsia="仿宋"/>
                <w:lang w:val="en-US" w:eastAsia="zh-CN" w:bidi="ar"/>
              </w:rPr>
              <w:t>36</w:t>
            </w:r>
            <w:r>
              <w:rPr>
                <w:rStyle w:val="16"/>
                <w:lang w:val="en-US" w:eastAsia="zh-CN" w:bidi="ar"/>
              </w:rPr>
              <w:t>个</w:t>
            </w:r>
            <w:r>
              <w:rPr>
                <w:rStyle w:val="15"/>
                <w:rFonts w:eastAsia="仿宋"/>
                <w:lang w:val="en-US" w:eastAsia="zh-CN" w:bidi="ar"/>
              </w:rPr>
              <w:t>2.5"</w:t>
            </w:r>
            <w:r>
              <w:rPr>
                <w:rStyle w:val="16"/>
                <w:lang w:val="en-US" w:eastAsia="zh-CN" w:bidi="ar"/>
              </w:rPr>
              <w:t>或</w:t>
            </w:r>
            <w:r>
              <w:rPr>
                <w:rStyle w:val="15"/>
                <w:rFonts w:eastAsia="仿宋"/>
                <w:lang w:val="en-US" w:eastAsia="zh-CN" w:bidi="ar"/>
              </w:rPr>
              <w:t>3.5"</w:t>
            </w:r>
            <w:r>
              <w:rPr>
                <w:rStyle w:val="16"/>
                <w:lang w:val="en-US" w:eastAsia="zh-CN" w:bidi="ar"/>
              </w:rPr>
              <w:t>的</w:t>
            </w:r>
            <w:r>
              <w:rPr>
                <w:rStyle w:val="15"/>
                <w:rFonts w:eastAsia="仿宋"/>
                <w:lang w:val="en-US" w:eastAsia="zh-CN" w:bidi="ar"/>
              </w:rPr>
              <w:t>SATA</w:t>
            </w:r>
            <w:r>
              <w:rPr>
                <w:rStyle w:val="16"/>
                <w:lang w:val="en-US" w:eastAsia="zh-CN" w:bidi="ar"/>
              </w:rPr>
              <w:t>硬盘或者</w:t>
            </w:r>
            <w:r>
              <w:rPr>
                <w:rStyle w:val="15"/>
                <w:rFonts w:eastAsia="仿宋"/>
                <w:lang w:val="en-US" w:eastAsia="zh-CN" w:bidi="ar"/>
              </w:rPr>
              <w:t>SAS</w:t>
            </w:r>
            <w:r>
              <w:rPr>
                <w:rStyle w:val="16"/>
                <w:lang w:val="en-US" w:eastAsia="zh-CN" w:bidi="ar"/>
              </w:rPr>
              <w:t>硬盘。视频设备接入模块：支持国标、</w:t>
            </w:r>
            <w:r>
              <w:rPr>
                <w:rStyle w:val="15"/>
                <w:rFonts w:eastAsia="仿宋"/>
                <w:lang w:val="en-US" w:eastAsia="zh-CN" w:bidi="ar"/>
              </w:rPr>
              <w:t>Onvif</w:t>
            </w:r>
            <w:r>
              <w:rPr>
                <w:rStyle w:val="16"/>
                <w:lang w:val="en-US" w:eastAsia="zh-CN" w:bidi="ar"/>
              </w:rPr>
              <w:t>，大华协议、海康协议等接入各类型主流厂家的前端设备；视频图片存储模块：支持视频和图片的基础存储业务，包括录像计划，图片计划配置管理，包括视频流按通道和类型进行分类，并进行相应的索引创建等；流媒体转发模块：支持流媒体动态负载均衡，弹性扩容，具备快速故障接管能力支持</w:t>
            </w:r>
            <w:r>
              <w:rPr>
                <w:rStyle w:val="15"/>
                <w:rFonts w:eastAsia="仿宋"/>
                <w:lang w:val="en-US" w:eastAsia="zh-CN" w:bidi="ar"/>
              </w:rPr>
              <w:t>RTSP</w:t>
            </w:r>
            <w:r>
              <w:rPr>
                <w:rStyle w:val="16"/>
                <w:lang w:val="en-US" w:eastAsia="zh-CN" w:bidi="ar"/>
              </w:rPr>
              <w:t>，</w:t>
            </w:r>
            <w:r>
              <w:rPr>
                <w:rStyle w:val="15"/>
                <w:rFonts w:eastAsia="仿宋"/>
                <w:lang w:val="en-US" w:eastAsia="zh-CN" w:bidi="ar"/>
              </w:rPr>
              <w:t>HLS</w:t>
            </w:r>
            <w:r>
              <w:rPr>
                <w:rStyle w:val="16"/>
                <w:lang w:val="en-US" w:eastAsia="zh-CN" w:bidi="ar"/>
              </w:rPr>
              <w:t>，</w:t>
            </w:r>
            <w:r>
              <w:rPr>
                <w:rStyle w:val="15"/>
                <w:rFonts w:eastAsia="仿宋"/>
                <w:lang w:val="en-US" w:eastAsia="zh-CN" w:bidi="ar"/>
              </w:rPr>
              <w:t>FLV</w:t>
            </w:r>
            <w:r>
              <w:rPr>
                <w:rStyle w:val="16"/>
                <w:lang w:val="en-US" w:eastAsia="zh-CN" w:bidi="ar"/>
              </w:rPr>
              <w:t>等流媒体协议。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0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E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大华</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F11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7120">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4014">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BDC5">
            <w:pPr>
              <w:jc w:val="center"/>
              <w:rPr>
                <w:rFonts w:hint="eastAsia" w:ascii="仿宋" w:hAnsi="仿宋" w:eastAsia="仿宋" w:cs="仿宋"/>
                <w:i w:val="0"/>
                <w:iCs w:val="0"/>
                <w:color w:val="000000"/>
                <w:sz w:val="24"/>
                <w:szCs w:val="24"/>
                <w:u w:val="none"/>
              </w:rPr>
            </w:pPr>
          </w:p>
        </w:tc>
      </w:tr>
      <w:tr w14:paraId="49BF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F94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6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企业级硬盘</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EF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6"/>
                <w:lang w:val="en-US" w:eastAsia="zh-CN" w:bidi="ar"/>
              </w:rPr>
              <w:t>容量：6</w:t>
            </w:r>
            <w:r>
              <w:rPr>
                <w:rStyle w:val="15"/>
                <w:rFonts w:eastAsia="仿宋"/>
                <w:lang w:val="en-US" w:eastAsia="zh-CN" w:bidi="ar"/>
              </w:rPr>
              <w:t>000G</w:t>
            </w:r>
            <w:r>
              <w:rPr>
                <w:rStyle w:val="16"/>
                <w:lang w:val="en-US" w:eastAsia="zh-CN" w:bidi="ar"/>
              </w:rPr>
              <w:t>；转速：</w:t>
            </w:r>
            <w:r>
              <w:rPr>
                <w:rStyle w:val="15"/>
                <w:rFonts w:eastAsia="仿宋"/>
                <w:lang w:val="en-US" w:eastAsia="zh-CN" w:bidi="ar"/>
              </w:rPr>
              <w:t>7200RPM</w:t>
            </w:r>
            <w:r>
              <w:rPr>
                <w:rStyle w:val="16"/>
                <w:lang w:val="en-US" w:eastAsia="zh-CN" w:bidi="ar"/>
              </w:rPr>
              <w:t>；缓存：</w:t>
            </w:r>
            <w:r>
              <w:rPr>
                <w:rStyle w:val="15"/>
                <w:rFonts w:eastAsia="仿宋"/>
                <w:lang w:val="en-US" w:eastAsia="zh-CN" w:bidi="ar"/>
              </w:rPr>
              <w:t>256M</w:t>
            </w:r>
            <w:r>
              <w:rPr>
                <w:rStyle w:val="16"/>
                <w:lang w:val="en-US" w:eastAsia="zh-CN" w:bidi="ar"/>
              </w:rPr>
              <w:t>，</w:t>
            </w:r>
            <w:r>
              <w:rPr>
                <w:rStyle w:val="15"/>
                <w:rFonts w:eastAsia="仿宋"/>
                <w:lang w:val="en-US" w:eastAsia="zh-CN" w:bidi="ar"/>
              </w:rPr>
              <w:t>SATA</w:t>
            </w:r>
            <w:r>
              <w:rPr>
                <w:rStyle w:val="16"/>
                <w:lang w:val="en-US" w:eastAsia="zh-CN" w:bidi="ar"/>
              </w:rPr>
              <w:t>。</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1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51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希捷</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2F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36</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D890">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2DEF">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D54B">
            <w:pPr>
              <w:jc w:val="center"/>
              <w:rPr>
                <w:rFonts w:hint="eastAsia" w:ascii="仿宋" w:hAnsi="仿宋" w:eastAsia="仿宋" w:cs="仿宋"/>
                <w:i w:val="0"/>
                <w:iCs w:val="0"/>
                <w:color w:val="000000"/>
                <w:sz w:val="24"/>
                <w:szCs w:val="24"/>
                <w:u w:val="none"/>
              </w:rPr>
            </w:pPr>
          </w:p>
        </w:tc>
      </w:tr>
      <w:tr w14:paraId="5AD5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1A6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66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中心端接收板卡</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A9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提供≥1路10/100/1000M以太网电口，提供≥8路百兆SFP光接口，支持VLAN划分，具备≥4M缓存，传输距离最大可达120KM及以上；配置20KM单纤百兆SFP光模块8块；具备SNMP网络管理功能，可以实现读取与设置本端、远端收发器电口以太接口的状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C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D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飞畅</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5CF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FBDC">
            <w:pPr>
              <w:jc w:val="center"/>
              <w:rPr>
                <w:rFonts w:hint="default" w:ascii="Calibri" w:hAnsi="Calibri" w:eastAsia="宋体" w:cs="Calibri"/>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F3DD">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A167">
            <w:pPr>
              <w:jc w:val="center"/>
              <w:rPr>
                <w:rFonts w:hint="eastAsia" w:ascii="仿宋" w:hAnsi="仿宋" w:eastAsia="仿宋" w:cs="仿宋"/>
                <w:i w:val="0"/>
                <w:iCs w:val="0"/>
                <w:color w:val="000000"/>
                <w:sz w:val="24"/>
                <w:szCs w:val="24"/>
                <w:u w:val="none"/>
              </w:rPr>
            </w:pPr>
          </w:p>
        </w:tc>
      </w:tr>
      <w:tr w14:paraId="30B9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E13C6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合计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2141">
            <w:pPr>
              <w:jc w:val="center"/>
              <w:rPr>
                <w:rFonts w:hint="default" w:ascii="Calibri" w:hAnsi="Calibri" w:eastAsia="宋体" w:cs="Calibri"/>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BBDB">
            <w:pPr>
              <w:jc w:val="center"/>
              <w:rPr>
                <w:rFonts w:hint="default" w:ascii="Calibri" w:hAnsi="Calibri" w:eastAsia="宋体" w:cs="Calibri"/>
                <w:i w:val="0"/>
                <w:iCs w:val="0"/>
                <w:color w:val="000000"/>
                <w:sz w:val="24"/>
                <w:szCs w:val="24"/>
                <w:u w:val="none"/>
              </w:rPr>
            </w:pPr>
          </w:p>
        </w:tc>
      </w:tr>
    </w:tbl>
    <w:p w14:paraId="27A92045">
      <w:pPr>
        <w:pStyle w:val="2"/>
        <w:ind w:left="0" w:leftChars="0" w:firstLine="0" w:firstLineChars="0"/>
        <w:rPr>
          <w:highlight w:val="none"/>
        </w:rPr>
      </w:pPr>
    </w:p>
    <w:p w14:paraId="0C4BBA92">
      <w:pPr>
        <w:ind w:firstLine="440"/>
        <w:rPr>
          <w:highlight w:val="none"/>
        </w:rPr>
      </w:pPr>
      <w:r>
        <w:rPr>
          <w:highlight w:val="none"/>
        </w:rPr>
        <w:t>1、报价一经涂改，应在涂改处加盖单位公章或者由法定代表人或授权委托人签名或盖章，否则其投标作无效标处理。</w:t>
      </w:r>
    </w:p>
    <w:p w14:paraId="4B4D1D48">
      <w:pPr>
        <w:ind w:firstLine="440"/>
        <w:rPr>
          <w:highlight w:val="none"/>
        </w:rPr>
      </w:pPr>
    </w:p>
    <w:p w14:paraId="6B983988">
      <w:pPr>
        <w:ind w:firstLine="440"/>
        <w:rPr>
          <w:highlight w:val="none"/>
        </w:rPr>
      </w:pPr>
    </w:p>
    <w:p w14:paraId="0ABD2A1E">
      <w:pPr>
        <w:pStyle w:val="14"/>
        <w:rPr>
          <w:highlight w:val="none"/>
        </w:rPr>
      </w:pPr>
      <w:r>
        <w:rPr>
          <w:rFonts w:hint="eastAsia"/>
          <w:highlight w:val="none"/>
        </w:rPr>
        <w:t>投标人名称（盖章）：</w:t>
      </w:r>
    </w:p>
    <w:p w14:paraId="19C3F535">
      <w:pPr>
        <w:pStyle w:val="14"/>
        <w:rPr>
          <w:highlight w:val="none"/>
        </w:rPr>
      </w:pPr>
      <w:r>
        <w:rPr>
          <w:rFonts w:hint="eastAsia"/>
          <w:highlight w:val="none"/>
        </w:rPr>
        <w:t>法定代表人或授权代表（签名或印章）：</w:t>
      </w:r>
    </w:p>
    <w:p w14:paraId="38ADF7EB">
      <w:pPr>
        <w:pStyle w:val="14"/>
        <w:rPr>
          <w:highlight w:val="none"/>
        </w:rPr>
      </w:pPr>
      <w:r>
        <w:rPr>
          <w:rFonts w:hint="eastAsia"/>
          <w:highlight w:val="none"/>
        </w:rPr>
        <w:t>日    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14:paraId="61CF8F50">
      <w:pPr>
        <w:pStyle w:val="2"/>
        <w:rPr>
          <w:highlight w:val="none"/>
        </w:rPr>
        <w:sectPr>
          <w:pgSz w:w="11906" w:h="16838"/>
          <w:pgMar w:top="1440" w:right="1800" w:bottom="1440" w:left="1800" w:header="851" w:footer="992" w:gutter="0"/>
          <w:cols w:space="425" w:num="1"/>
          <w:docGrid w:type="lines" w:linePitch="312" w:charSpace="0"/>
        </w:sectPr>
      </w:pPr>
    </w:p>
    <w:p w14:paraId="1D261A8B">
      <w:pPr>
        <w:pStyle w:val="4"/>
        <w:numPr>
          <w:ilvl w:val="0"/>
          <w:numId w:val="0"/>
        </w:numPr>
        <w:ind w:left="432" w:leftChars="0" w:hanging="432" w:firstLineChars="0"/>
        <w:rPr>
          <w:rFonts w:hint="eastAsia" w:ascii="宋体" w:hAnsi="宋体" w:eastAsia="宋体" w:cs="宋体"/>
          <w:b/>
          <w:bCs/>
          <w:i w:val="0"/>
          <w:kern w:val="44"/>
          <w:sz w:val="24"/>
          <w:szCs w:val="24"/>
          <w:highlight w:val="none"/>
          <w:lang w:val="en-US" w:eastAsia="zh-CN" w:bidi="ar-SA"/>
        </w:rPr>
      </w:pPr>
      <w:r>
        <w:rPr>
          <w:rFonts w:hint="eastAsia" w:ascii="宋体" w:hAnsi="宋体" w:eastAsia="宋体" w:cs="宋体"/>
          <w:b/>
          <w:bCs/>
          <w:i w:val="0"/>
          <w:kern w:val="44"/>
          <w:sz w:val="24"/>
          <w:szCs w:val="24"/>
          <w:highlight w:val="none"/>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Style w:val="11"/>
          <w:rFonts w:hint="eastAsia" w:ascii="微软雅黑" w:hAnsi="微软雅黑" w:eastAsia="微软雅黑" w:cs="微软雅黑"/>
          <w:i w:val="0"/>
          <w:iCs w:val="0"/>
          <w:caps w:val="0"/>
          <w:color w:val="000000"/>
          <w:spacing w:val="0"/>
          <w:sz w:val="27"/>
          <w:szCs w:val="27"/>
          <w:highlight w:val="none"/>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highlight w:val="none"/>
          <w:lang w:val="en-US" w:eastAsia="zh-CN" w:bidi="ar-SA"/>
        </w:rPr>
      </w:pPr>
      <w:r>
        <w:rPr>
          <w:rFonts w:hint="eastAsia" w:ascii="宋体" w:hAnsi="宋体" w:eastAsia="宋体" w:cs="Times New Roman"/>
          <w:color w:val="auto"/>
          <w:kern w:val="0"/>
          <w:sz w:val="22"/>
          <w:szCs w:val="21"/>
          <w:highlight w:val="none"/>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highlight w:val="none"/>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法定代表人（单位负责人）或授权代表签字：</w:t>
      </w:r>
    </w:p>
    <w:p w14:paraId="43409D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highlight w:val="none"/>
          <w:lang w:val="en-US" w:eastAsia="zh-CN" w:bidi="ar-SA"/>
        </w:rPr>
        <w:t>日期： 年 月</w:t>
      </w:r>
      <w:r>
        <w:rPr>
          <w:rFonts w:hint="eastAsia" w:ascii="Times New Roman" w:hAnsi="Times New Roman" w:cs="Times New Roman"/>
          <w:color w:val="auto"/>
          <w:kern w:val="0"/>
          <w:sz w:val="22"/>
          <w:szCs w:val="22"/>
          <w:highlight w:val="none"/>
          <w:lang w:val="en-US" w:eastAsia="zh-CN" w:bidi="ar-SA"/>
        </w:rPr>
        <w:t xml:space="preserve"> </w:t>
      </w:r>
      <w:r>
        <w:rPr>
          <w:rFonts w:hint="eastAsia" w:ascii="Times New Roman" w:hAnsi="Times New Roman" w:eastAsia="宋体" w:cs="Times New Roman"/>
          <w:color w:val="auto"/>
          <w:kern w:val="0"/>
          <w:sz w:val="22"/>
          <w:szCs w:val="22"/>
          <w:highlight w:val="none"/>
          <w:lang w:val="en-US" w:eastAsia="zh-CN" w:bidi="ar-SA"/>
        </w:rPr>
        <w:t xml:space="preserve"> 日</w:t>
      </w:r>
    </w:p>
    <w:p w14:paraId="64A27B76">
      <w:pPr>
        <w:spacing w:line="360" w:lineRule="auto"/>
        <w:rPr>
          <w:rFonts w:ascii="宋体" w:hAnsi="宋体"/>
          <w:b/>
          <w:bCs/>
          <w:highlight w:val="none"/>
        </w:rPr>
      </w:pPr>
      <w:r>
        <w:rPr>
          <w:rFonts w:hint="eastAsia" w:ascii="宋体" w:hAnsi="宋体"/>
          <w:b/>
          <w:bCs/>
          <w:highlight w:val="none"/>
          <w:lang w:val="en-US" w:eastAsia="zh-CN"/>
        </w:rPr>
        <w:t>7.4</w:t>
      </w:r>
      <w:r>
        <w:rPr>
          <w:rFonts w:hint="eastAsia" w:ascii="宋体" w:hAnsi="宋体"/>
          <w:b/>
          <w:bCs/>
          <w:highlight w:val="none"/>
        </w:rPr>
        <w:t>信用中国查询声明函</w:t>
      </w:r>
    </w:p>
    <w:p w14:paraId="15C9203C">
      <w:pPr>
        <w:spacing w:line="360" w:lineRule="auto"/>
        <w:rPr>
          <w:rFonts w:ascii="宋体" w:hAnsi="宋体"/>
          <w:highlight w:val="none"/>
        </w:rPr>
      </w:pPr>
    </w:p>
    <w:p w14:paraId="709290AF">
      <w:pPr>
        <w:spacing w:line="480" w:lineRule="auto"/>
        <w:jc w:val="center"/>
        <w:rPr>
          <w:rFonts w:ascii="宋体" w:hAnsi="宋体"/>
          <w:b/>
          <w:bCs/>
          <w:sz w:val="24"/>
          <w:szCs w:val="24"/>
          <w:highlight w:val="none"/>
        </w:rPr>
      </w:pPr>
      <w:r>
        <w:rPr>
          <w:rFonts w:hint="eastAsia" w:ascii="宋体" w:hAnsi="宋体"/>
          <w:b/>
          <w:bCs/>
          <w:sz w:val="24"/>
          <w:szCs w:val="24"/>
          <w:highlight w:val="none"/>
        </w:rPr>
        <w:t>信用中国查询声明函</w:t>
      </w:r>
    </w:p>
    <w:p w14:paraId="0DBA7C2B">
      <w:pPr>
        <w:spacing w:line="360" w:lineRule="auto"/>
        <w:ind w:firstLine="420"/>
        <w:rPr>
          <w:highlight w:val="none"/>
        </w:rPr>
      </w:pPr>
      <w:r>
        <w:rPr>
          <w:rFonts w:hint="eastAsia" w:ascii="宋体" w:hAnsi="宋体"/>
          <w:highlight w:val="none"/>
        </w:rPr>
        <w:t>我司（单位）承诺未被列入“信用中国www.creditchina.gov.cn”网站中的政府采购严重违法失信名单及失信被执行人。</w:t>
      </w:r>
    </w:p>
    <w:p w14:paraId="28041B0A">
      <w:pPr>
        <w:spacing w:line="360" w:lineRule="auto"/>
        <w:rPr>
          <w:highlight w:val="none"/>
        </w:rPr>
      </w:pPr>
    </w:p>
    <w:p w14:paraId="5CE30A97">
      <w:pPr>
        <w:spacing w:line="360" w:lineRule="auto"/>
        <w:rPr>
          <w:highlight w:val="none"/>
        </w:rPr>
      </w:pPr>
    </w:p>
    <w:p w14:paraId="2D6E5444">
      <w:pPr>
        <w:spacing w:line="360" w:lineRule="auto"/>
        <w:rPr>
          <w:highlight w:val="none"/>
        </w:rPr>
      </w:pPr>
    </w:p>
    <w:p w14:paraId="52CF2FB6">
      <w:pPr>
        <w:spacing w:line="360" w:lineRule="auto"/>
        <w:ind w:firstLine="4290" w:firstLineChars="1950"/>
        <w:rPr>
          <w:highlight w:val="none"/>
        </w:rPr>
      </w:pPr>
      <w:r>
        <w:rPr>
          <w:rFonts w:hint="eastAsia"/>
          <w:highlight w:val="none"/>
        </w:rPr>
        <w:t>投标人（盖章）</w:t>
      </w:r>
    </w:p>
    <w:p w14:paraId="16594EA3">
      <w:pPr>
        <w:spacing w:line="360" w:lineRule="auto"/>
        <w:ind w:firstLine="440" w:firstLineChars="200"/>
        <w:rPr>
          <w:highlight w:val="none"/>
        </w:rPr>
      </w:pPr>
      <w:r>
        <w:rPr>
          <w:rFonts w:hint="eastAsia"/>
          <w:highlight w:val="none"/>
        </w:rPr>
        <w:t>法定代表人（负责人）或其授权委托人（签名或印章）：</w:t>
      </w:r>
    </w:p>
    <w:p w14:paraId="354EB195">
      <w:pPr>
        <w:snapToGrid w:val="0"/>
        <w:spacing w:before="50" w:after="50"/>
        <w:ind w:firstLine="4840" w:firstLineChars="2200"/>
        <w:rPr>
          <w:rFonts w:ascii="宋体" w:hAnsi="宋体"/>
          <w:highlight w:val="none"/>
        </w:rPr>
      </w:pPr>
      <w:r>
        <w:rPr>
          <w:rFonts w:hint="eastAsia"/>
          <w:highlight w:val="none"/>
        </w:rPr>
        <w:t>日    期：</w:t>
      </w:r>
    </w:p>
    <w:p w14:paraId="0BA76F77">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102723B"/>
    <w:rsid w:val="03247659"/>
    <w:rsid w:val="065456B9"/>
    <w:rsid w:val="0757783A"/>
    <w:rsid w:val="07A66462"/>
    <w:rsid w:val="07C3542A"/>
    <w:rsid w:val="1089491E"/>
    <w:rsid w:val="10BB33AB"/>
    <w:rsid w:val="120C32E2"/>
    <w:rsid w:val="12745F08"/>
    <w:rsid w:val="18814EDA"/>
    <w:rsid w:val="19B810FB"/>
    <w:rsid w:val="1B433C51"/>
    <w:rsid w:val="1C7900CC"/>
    <w:rsid w:val="1F29779B"/>
    <w:rsid w:val="1F3F55A4"/>
    <w:rsid w:val="1F5F387B"/>
    <w:rsid w:val="22F43C1F"/>
    <w:rsid w:val="2328182A"/>
    <w:rsid w:val="25421E95"/>
    <w:rsid w:val="26084963"/>
    <w:rsid w:val="26F13DEB"/>
    <w:rsid w:val="29B8040D"/>
    <w:rsid w:val="2AF966CA"/>
    <w:rsid w:val="2F0D4FBB"/>
    <w:rsid w:val="31FD6AB3"/>
    <w:rsid w:val="33060F3B"/>
    <w:rsid w:val="34D5735F"/>
    <w:rsid w:val="35826304"/>
    <w:rsid w:val="384906DF"/>
    <w:rsid w:val="394D3DC6"/>
    <w:rsid w:val="424F10A5"/>
    <w:rsid w:val="46A833C0"/>
    <w:rsid w:val="48767B73"/>
    <w:rsid w:val="49954A09"/>
    <w:rsid w:val="4F881965"/>
    <w:rsid w:val="4F9E5990"/>
    <w:rsid w:val="505C6A39"/>
    <w:rsid w:val="555566F6"/>
    <w:rsid w:val="5A612BE9"/>
    <w:rsid w:val="5FB90077"/>
    <w:rsid w:val="665E1184"/>
    <w:rsid w:val="674541B3"/>
    <w:rsid w:val="6E667577"/>
    <w:rsid w:val="6F487128"/>
    <w:rsid w:val="72B029C4"/>
    <w:rsid w:val="766B71BD"/>
    <w:rsid w:val="771238C5"/>
    <w:rsid w:val="78296DA0"/>
    <w:rsid w:val="7AA3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21"/>
    <w:basedOn w:val="10"/>
    <w:qFormat/>
    <w:uiPriority w:val="0"/>
    <w:rPr>
      <w:rFonts w:hint="default" w:ascii="Calibri" w:hAnsi="Calibri" w:cs="Calibri"/>
      <w:color w:val="000000"/>
      <w:sz w:val="24"/>
      <w:szCs w:val="24"/>
      <w:u w:val="none"/>
    </w:rPr>
  </w:style>
  <w:style w:type="character" w:customStyle="1" w:styleId="16">
    <w:name w:val="font31"/>
    <w:basedOn w:val="10"/>
    <w:qFormat/>
    <w:uiPriority w:val="0"/>
    <w:rPr>
      <w:rFonts w:hint="eastAsia" w:ascii="仿宋" w:hAnsi="仿宋" w:eastAsia="仿宋" w:cs="仿宋"/>
      <w:color w:val="000000"/>
      <w:sz w:val="24"/>
      <w:szCs w:val="24"/>
      <w:u w:val="none"/>
    </w:rPr>
  </w:style>
  <w:style w:type="character" w:customStyle="1" w:styleId="17">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1816</Words>
  <Characters>2016</Characters>
  <Lines>0</Lines>
  <Paragraphs>0</Paragraphs>
  <TotalTime>9</TotalTime>
  <ScaleCrop>false</ScaleCrop>
  <LinksUpToDate>false</LinksUpToDate>
  <CharactersWithSpaces>2219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2024-12-13T07:23:09Z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DE13D2656CD24298A3AC9710F61E2010_11</vt:lpwstr>
  </property>
</Properties>
</file>